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Exam 1 Multiple Choice  - 35 MC questions from Chapters 1 and 2 in CengageNow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Exam 1 Written - 1 true false - 1 essay, 3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1) I agree to the following statement: I am enrolled in this course and completing this exam for myself. I am completing my own work and not discussing the content of this exam with anyone. I understand that violations of this policy will result in a 0.0 in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True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firstLine="0"/>
        <w:contextualSpacing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False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2) In a brief but complete paragraph using your OWN words compare and contrast Financial and Managerial accounting.  Your answer MUST include at least two differences and two similarities.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3) Show a picture of an item produced with numbers and have students identify the following: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DM, DL, Indirect labor, Indirect Materials, Manufacturing Overhead, Period cost, product cost.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Or if pictures could slow down testing use this one: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Jasnic Inc manufactures metal water bottles. The sheet metal used for the base of the water bottle cost $290,000. Advertising cost amount to $12,000. The managers of the manufacturing plant were paid $180,000. The production line workers were paid $78,000. The plastic o rings used in the water bottle had a high failure rate and were difficult to keep track of the related cost $3,250. Insurance on the plant cost $40,000 and corporate headquarters insurance cost $20,000. The corporate headquarters was rented at a cost of $63,000 and salesman were paid $12,000 in commission. Depreciation on the manufacturing equipment cost $55,000 and the plant utilities cost $66,000.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Identify the category(s) of each cost and provide the total amount for each category.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A) Direct Material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B) Direct Labor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C) Indirect Material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D) Indirect Labor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E) Manufacturing Overhead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F) Period Cost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G) Product Cost.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DONT FORGET TO SHOW ALL CALCULATIONS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4) Provide the basic information of a problem and have the students make the journal entries as the product moves through the production process.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Please journalize the following transactions for SITG Inc for the year ended December 31, 2011: Raw materials were purchased for $9,000 on account.  $3,000 of the raw materials were moved onto the production floor. Labor of $18,000 was incurred for production workers.An the CFO told you to apply $ 23,000 in manufacturing overhead. On the final stop goods of $22,000 were transferred into finished goods.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5) Schedule of cost of goods manufactured.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following information is available for Obsolete Books Inc. for 2012.  Prepare a Schedule of Cost of Goods Manufactured  in good form based on the information provided.    Assume all the books are identical for this question.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Accounting Expense 36,000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Advertising Expense 8,000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 Labor (2,080 x 10.00 per hour) 20,800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 Materials purchased 18,500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Factory Equipment Depreciation 2,500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Factory Rent Expense   80,200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Factory Supervisor Wage Expense 41,200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Factory Utilities 1,350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Indirect Labor   12,3000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Indirect Materials  4,250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Office Equipment Depreciation 1,100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Office Expense 18,000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Office Utilities 620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Sales Commission Expense 1,200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Sales Revenue 250,000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Inventory Information</w:t>
        <w:tab/>
        <w:tab/>
        <w:t xml:space="preserve">Beginning </w:t>
        <w:tab/>
        <w:t xml:space="preserve">Ending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 Materials Inventory </w:t>
        <w:tab/>
        <w:t xml:space="preserve">29,300</w:t>
        <w:tab/>
        <w:tab/>
        <w:t xml:space="preserve">22,500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Work in Process Inventory</w:t>
        <w:tab/>
        <w:t xml:space="preserve">32,000</w:t>
        <w:tab/>
        <w:tab/>
        <w:t xml:space="preserve">35,400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Finished Goods Inventory</w:t>
        <w:tab/>
        <w:t xml:space="preserve">18,000</w:t>
        <w:tab/>
        <w:tab/>
        <w:t xml:space="preserve">12,000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762000" cy="1428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428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Unless otherwise specified, this work by the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Washington State Colleges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licensed under a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Creative Commons Attribution 3.0 Unported License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.  The</w:t>
      </w: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Open Course Library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is funded by the</w:t>
      </w:r>
      <w:hyperlink r:id="rId10">
        <w:r w:rsidDel="00000000" w:rsidR="00000000" w:rsidRPr="00000000">
          <w:rPr>
            <w:rFonts w:ascii="Calibri" w:cs="Calibri" w:eastAsia="Calibri" w:hAnsi="Calibri"/>
            <w:color w:val="1155cc"/>
            <w:sz w:val="16"/>
            <w:szCs w:val="16"/>
            <w:u w:val="single"/>
            <w:rtl w:val="0"/>
          </w:rPr>
          <w:t xml:space="preserve"> Bill &amp; Melinda Gates Foundation</w:t>
        </w:r>
      </w:hyperlink>
      <w:r w:rsidDel="00000000" w:rsidR="00000000" w:rsidRPr="00000000">
        <w:rPr>
          <w:rFonts w:ascii="Calibri" w:cs="Calibri" w:eastAsia="Calibri" w:hAnsi="Calibri"/>
          <w:sz w:val="16"/>
          <w:szCs w:val="16"/>
          <w:rtl w:val="0"/>
        </w:rPr>
        <w:t xml:space="preserve"> and the Washington State Legislature." 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www.gatesfoundation.org/postsecondaryeducation/Pages/default.aspx" TargetMode="External"/><Relationship Id="rId9" Type="http://schemas.openxmlformats.org/officeDocument/2006/relationships/hyperlink" Target="http://opencourselibrary.org/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sbctc.edu/" TargetMode="External"/><Relationship Id="rId8" Type="http://schemas.openxmlformats.org/officeDocument/2006/relationships/hyperlink" Target="http://creativecommons.org/licenses/by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