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color w:val="ff0000"/>
        </w:rPr>
      </w:pPr>
      <w:r w:rsidDel="00000000" w:rsidR="00000000" w:rsidRPr="00000000">
        <w:rPr>
          <w:b w:val="1"/>
          <w:color w:val="ff0000"/>
          <w:rtl w:val="0"/>
        </w:rPr>
        <w:t xml:space="preserve">Week 9  Folder – Budget’s continued &amp; Long Term </w:t>
      </w:r>
      <w:r w:rsidDel="00000000" w:rsidR="00000000" w:rsidRPr="00000000">
        <w:rPr>
          <w:rFonts w:ascii="Calibri" w:cs="Calibri" w:eastAsia="Calibri" w:hAnsi="Calibri"/>
          <w:b w:val="1"/>
          <w:color w:val="ff0000"/>
          <w:rtl w:val="0"/>
        </w:rPr>
        <w:t xml:space="preserve">Decisions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Calibri" w:cs="Calibri" w:eastAsia="Calibri" w:hAnsi="Calibri"/>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is an exam week.  Please pay close attention to the schedule.  Remember all assignments are due by 10:00 pm.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t xml:space="preserve">1) Read Lecture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w:t>
      </w:r>
      <w:r w:rsidDel="00000000" w:rsidR="00000000" w:rsidRPr="00000000">
        <w:rPr>
          <w:rtl w:val="0"/>
        </w:rPr>
        <w:t xml:space="preserve">) DB 9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r>
      <w:r w:rsidDel="00000000" w:rsidR="00000000" w:rsidRPr="00000000">
        <w:rPr>
          <w:rtl w:val="0"/>
        </w:rPr>
        <w:t xml:space="preserve">) Collaborate online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Assign #16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w:t>
      </w:r>
      <w:r w:rsidDel="00000000" w:rsidR="00000000" w:rsidRPr="00000000">
        <w:rPr>
          <w:rtl w:val="0"/>
        </w:rPr>
        <w:t xml:space="preserve">) Assign #17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6) Exam 4 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General information about the exam and the actual exam will be posted in the current week’s folder on Friday at 6:00 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Pg 158 - 159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 Dennis Kaplan Chapter 6: Flexible budgeting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http://denniscaplan.fatcow.com/Chapter06.htm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this unit we have talked about budgets in great depth and how they are used to make decisions.  We will spend the week clarifying problem areas, practicing what you learned, and adding the final piece.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are two types of budgets a company can prepare - static or flexible budgets.   Many companies think for budgets as a once a year process and prepare static budgets.  This types of budgets do not work well because a company is comparing themselves to an estimated level of activity.  This type of comparison would be similar to planning to ride you back for 10 miles; instead you ride for 50 miles, and try to compare the number of calories burned without taking the miles into consideration.    As we know variable cost change when activity level changes.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flexible budget takes these activity level changes into account.  The company takes the budget and restates it based on ACTUAL activity.   We will go over an example in Elluminate to illustrate the impact on the planning process.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Discussion Board:  </w:t>
      </w:r>
      <w:r w:rsidDel="00000000" w:rsidR="00000000" w:rsidRPr="00000000">
        <w:rPr>
          <w:b w:val="1"/>
          <w:rtl w:val="0"/>
        </w:rPr>
        <w:t xml:space="preserve">DB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You only have ONE graded discussion this week so it is worth the total 16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w:t>
      </w:r>
      <w:r w:rsidDel="00000000" w:rsidR="00000000" w:rsidRPr="00000000">
        <w:rPr>
          <w:rtl w:val="0"/>
        </w:rPr>
        <w:t xml:space="preserve">  Discuss the terminology, homework, or any other relevant information.  Remember this is a week to nail down any topics you are weak in.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have posted a few starters for you.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t xml:space="preserve">3) </w:t>
      </w:r>
      <w:r w:rsidDel="00000000" w:rsidR="00000000" w:rsidRPr="00000000">
        <w:rPr>
          <w:b w:val="1"/>
          <w:rtl w:val="0"/>
        </w:rPr>
        <w:t xml:space="preserve">Assign #16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t xml:space="preserve">4</w:t>
      </w:r>
      <w:r w:rsidDel="00000000" w:rsidR="00000000" w:rsidRPr="00000000">
        <w:rPr>
          <w:b w:val="1"/>
          <w:rtl w:val="0"/>
        </w:rPr>
        <w:t xml:space="preserve">) Assign #17 </w:t>
      </w:r>
      <w:r w:rsidDel="00000000" w:rsidR="00000000" w:rsidRPr="00000000">
        <w:rPr>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Exam 4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4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exam will continue questions from Chapters 7,8,9.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exam is a two part exam.   Due Sunday by 10PM  Don’t wait until the last minute to take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35 Multiple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75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II: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Need lockdown browser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SHOW ALL CALCUATIONS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90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Exam 4: Please see the assessments for sample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8">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9">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0">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gatesfoundation.org/postsecondaryeducation/Pages/default.aspx" TargetMode="External"/><Relationship Id="rId9" Type="http://schemas.openxmlformats.org/officeDocument/2006/relationships/hyperlink" Target="http://opencourselibrary.org/"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